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3EC" w:rsidRPr="00C46716" w:rsidRDefault="000703EC" w:rsidP="000703EC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C46716">
        <w:rPr>
          <w:rFonts w:ascii="GHEA Grapalat" w:hAnsi="GHEA Grapalat"/>
          <w:b/>
          <w:bCs/>
          <w:sz w:val="24"/>
          <w:szCs w:val="24"/>
          <w:lang w:val="hy-AM"/>
        </w:rPr>
        <w:t>Պատվաստումների սպասվող և անսպասելի դրական արդյունքները</w:t>
      </w:r>
    </w:p>
    <w:p w:rsidR="00372E20" w:rsidRPr="00C46716" w:rsidRDefault="00372E20" w:rsidP="000703EC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:rsidR="00284CC3" w:rsidRPr="00C46716" w:rsidRDefault="00CE30D1" w:rsidP="00372E20">
      <w:pPr>
        <w:spacing w:line="360" w:lineRule="auto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C46716">
        <w:rPr>
          <w:rFonts w:ascii="GHEA Grapalat" w:hAnsi="GHEA Grapalat"/>
          <w:bCs/>
          <w:sz w:val="24"/>
          <w:szCs w:val="24"/>
          <w:lang w:val="hy-AM"/>
        </w:rPr>
        <w:t xml:space="preserve">Պատվաստումների դրական ազդեցությունը </w:t>
      </w:r>
      <w:r w:rsidR="00F86427" w:rsidRPr="00C46716">
        <w:rPr>
          <w:rFonts w:ascii="GHEA Grapalat" w:hAnsi="GHEA Grapalat"/>
          <w:bCs/>
          <w:sz w:val="24"/>
          <w:szCs w:val="24"/>
          <w:lang w:val="hy-AM"/>
        </w:rPr>
        <w:t xml:space="preserve">կարող է ավելի շատ լինել քան սպասվում է, այսինքն պատվաստումները կարող են դրսևորել նաև ոչ սպեցիֆիկ  /հետերոլոգիական/ ազդեցություն: Այսպես օրինակ, նորածինների տուբերկուլոզի դեմ պատվաստումները /ԲՑԺ/ նպաստում են վերին շնչուղիների վարակներով և սեպսիսով պայմանավորված </w:t>
      </w:r>
      <w:r w:rsidR="00284CC3" w:rsidRPr="00C46716">
        <w:rPr>
          <w:rFonts w:ascii="GHEA Grapalat" w:hAnsi="GHEA Grapalat"/>
          <w:bCs/>
          <w:sz w:val="24"/>
          <w:szCs w:val="24"/>
          <w:lang w:val="hy-AM"/>
        </w:rPr>
        <w:t>հոսպի</w:t>
      </w:r>
      <w:r w:rsidR="009053BB" w:rsidRPr="00C46716">
        <w:rPr>
          <w:rFonts w:ascii="GHEA Grapalat" w:hAnsi="GHEA Grapalat"/>
          <w:bCs/>
          <w:sz w:val="24"/>
          <w:szCs w:val="24"/>
          <w:lang w:val="hy-AM"/>
        </w:rPr>
        <w:t xml:space="preserve">տալացումների </w:t>
      </w:r>
      <w:r w:rsidR="00284CC3" w:rsidRPr="00C46716">
        <w:rPr>
          <w:rFonts w:ascii="GHEA Grapalat" w:hAnsi="GHEA Grapalat"/>
          <w:bCs/>
          <w:sz w:val="24"/>
          <w:szCs w:val="24"/>
          <w:lang w:val="hy-AM"/>
        </w:rPr>
        <w:t>նվազեցմանը</w:t>
      </w:r>
      <w:r w:rsidR="00210D03" w:rsidRPr="00C46716">
        <w:rPr>
          <w:rFonts w:ascii="GHEA Grapalat" w:hAnsi="GHEA Grapalat"/>
          <w:bCs/>
          <w:sz w:val="24"/>
          <w:szCs w:val="24"/>
          <w:lang w:val="hy-AM"/>
        </w:rPr>
        <w:t xml:space="preserve">, ընդ որում </w:t>
      </w:r>
      <w:r w:rsidR="00284CC3" w:rsidRPr="00C46716">
        <w:rPr>
          <w:rFonts w:ascii="GHEA Grapalat" w:hAnsi="GHEA Grapalat"/>
          <w:bCs/>
          <w:sz w:val="24"/>
          <w:szCs w:val="24"/>
          <w:lang w:val="hy-AM"/>
        </w:rPr>
        <w:t>վերին շնչուղիների վարակներով պայմանավորված հոսպիտալացումների ցուցանիշները</w:t>
      </w:r>
      <w:r w:rsidR="00210D03" w:rsidRPr="00C46716">
        <w:rPr>
          <w:rFonts w:ascii="GHEA Grapalat" w:hAnsi="GHEA Grapalat"/>
          <w:bCs/>
          <w:sz w:val="24"/>
          <w:szCs w:val="24"/>
          <w:lang w:val="hy-AM"/>
        </w:rPr>
        <w:t xml:space="preserve"> մոտ 41 %-ով, իսկ սեպսիսով պայմանավորված հոսպիտալացումների ցուցանիշները՝ 37.5%-ով: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2"/>
        <w:gridCol w:w="4953"/>
      </w:tblGrid>
      <w:tr w:rsidR="008D2E52" w:rsidTr="008D2E52">
        <w:tc>
          <w:tcPr>
            <w:tcW w:w="4952" w:type="dxa"/>
          </w:tcPr>
          <w:p w:rsidR="008D2E52" w:rsidRDefault="008D2E52" w:rsidP="008D2E52">
            <w:pPr>
              <w:tabs>
                <w:tab w:val="left" w:pos="6486"/>
              </w:tabs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67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Շնչուղիների վարակներով պայմանավորված հոսպիտալացումների ցուցանիշ</w:t>
            </w:r>
          </w:p>
        </w:tc>
        <w:tc>
          <w:tcPr>
            <w:tcW w:w="4953" w:type="dxa"/>
          </w:tcPr>
          <w:p w:rsidR="008D2E52" w:rsidRDefault="008D2E52" w:rsidP="008D2E52">
            <w:pPr>
              <w:tabs>
                <w:tab w:val="left" w:pos="6486"/>
              </w:tabs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67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Սեպսիսով պայմանավորված  հոսպիտալացումների  ցուցանիշ</w:t>
            </w:r>
          </w:p>
        </w:tc>
      </w:tr>
    </w:tbl>
    <w:p w:rsidR="008D2E52" w:rsidRDefault="008D2E52" w:rsidP="006343BA">
      <w:pPr>
        <w:tabs>
          <w:tab w:val="left" w:pos="6486"/>
        </w:tabs>
        <w:spacing w:line="240" w:lineRule="auto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</w:p>
    <w:p w:rsidR="00284CC3" w:rsidRPr="00C46716" w:rsidRDefault="00210D03" w:rsidP="008D2E52">
      <w:pPr>
        <w:ind w:left="-360"/>
        <w:rPr>
          <w:rFonts w:ascii="GHEA Grapalat" w:hAnsi="GHEA Grapalat"/>
          <w:b/>
          <w:bCs/>
          <w:sz w:val="24"/>
          <w:szCs w:val="24"/>
          <w:lang w:val="hy-AM"/>
        </w:rPr>
      </w:pPr>
      <w:r w:rsidRPr="00C46716">
        <w:rPr>
          <w:rFonts w:ascii="GHEA Grapalat" w:hAnsi="GHEA Grapalat"/>
          <w:b/>
          <w:bCs/>
          <w:noProof/>
          <w:sz w:val="24"/>
          <w:szCs w:val="24"/>
        </w:rPr>
        <w:drawing>
          <wp:inline distT="0" distB="0" distL="0" distR="0">
            <wp:extent cx="6591328" cy="2973028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69" name="Imagen 1"/>
                    <pic:cNvPicPr>
                      <a:picLocks noChangeAspect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578" cy="29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46716" w:rsidRPr="00C46716" w:rsidRDefault="00DD1BE0" w:rsidP="00982663">
      <w:pPr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C46716">
        <w:rPr>
          <w:rFonts w:ascii="GHEA Grapalat" w:hAnsi="GHEA Grapalat"/>
          <w:bCs/>
          <w:sz w:val="24"/>
          <w:szCs w:val="24"/>
          <w:lang w:val="hy-AM"/>
        </w:rPr>
        <w:t>Հետևաբար ԲՑԺ պատվաստումները ապահովում են</w:t>
      </w:r>
      <w:r w:rsidR="00372E20" w:rsidRPr="00C46716">
        <w:rPr>
          <w:rFonts w:ascii="GHEA Grapalat" w:hAnsi="GHEA Grapalat"/>
          <w:bCs/>
          <w:sz w:val="24"/>
          <w:szCs w:val="24"/>
          <w:lang w:val="hy-AM"/>
        </w:rPr>
        <w:t xml:space="preserve"> ոչ միայն սպեցիֆիկ ազդեցություն՝ պաշտպանելով տուբերկուլոզի ծանր ձևերից,</w:t>
      </w:r>
      <w:r w:rsidRPr="00C46716">
        <w:rPr>
          <w:rFonts w:ascii="GHEA Grapalat" w:hAnsi="GHEA Grapalat"/>
          <w:bCs/>
          <w:sz w:val="24"/>
          <w:szCs w:val="24"/>
          <w:lang w:val="hy-AM"/>
        </w:rPr>
        <w:t xml:space="preserve"> այլ</w:t>
      </w:r>
      <w:r w:rsidR="00372E20" w:rsidRPr="00C46716">
        <w:rPr>
          <w:rFonts w:ascii="GHEA Grapalat" w:hAnsi="GHEA Grapalat"/>
          <w:bCs/>
          <w:sz w:val="24"/>
          <w:szCs w:val="24"/>
          <w:lang w:val="hy-AM"/>
        </w:rPr>
        <w:t xml:space="preserve"> նաև</w:t>
      </w:r>
      <w:r w:rsidRPr="00C46716">
        <w:rPr>
          <w:rFonts w:ascii="GHEA Grapalat" w:hAnsi="GHEA Grapalat"/>
          <w:bCs/>
          <w:sz w:val="24"/>
          <w:szCs w:val="24"/>
          <w:lang w:val="hy-AM"/>
        </w:rPr>
        <w:t xml:space="preserve"> հիվանդություններից պաշտպանություն, ի շնորհիվ </w:t>
      </w:r>
      <w:r w:rsidR="006343BA" w:rsidRPr="00C46716">
        <w:rPr>
          <w:rFonts w:ascii="GHEA Grapalat" w:hAnsi="GHEA Grapalat"/>
          <w:bCs/>
          <w:sz w:val="24"/>
          <w:szCs w:val="24"/>
          <w:lang w:val="hy-AM"/>
        </w:rPr>
        <w:t xml:space="preserve">ոչ սպեցիֆիկ ազդեցության: </w:t>
      </w:r>
    </w:p>
    <w:p w:rsidR="00C46716" w:rsidRPr="00C46716" w:rsidRDefault="00C46716" w:rsidP="00C46716">
      <w:pPr>
        <w:spacing w:line="360" w:lineRule="auto"/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  <w:r>
        <w:rPr>
          <w:rFonts w:ascii="GHEA Grapalat" w:hAnsi="GHEA Grapalat"/>
          <w:bCs/>
          <w:sz w:val="24"/>
          <w:szCs w:val="24"/>
          <w:lang w:val="hy-AM"/>
        </w:rPr>
        <w:t>Կ</w:t>
      </w:r>
      <w:r w:rsidRPr="00C46716">
        <w:rPr>
          <w:rFonts w:ascii="GHEA Grapalat" w:hAnsi="GHEA Grapalat"/>
          <w:bCs/>
          <w:sz w:val="24"/>
          <w:szCs w:val="24"/>
          <w:lang w:val="hy-AM"/>
        </w:rPr>
        <w:t xml:space="preserve">արմրուկի պատվաստումները կանխարգելում են ոչ միայն կարմրուկ հիվանդությունը, այլ նաև այսպես կոչված «իմունային ամնեզիան» /իմունային </w:t>
      </w:r>
      <w:r w:rsidRPr="00C46716">
        <w:rPr>
          <w:rFonts w:ascii="GHEA Grapalat" w:hAnsi="GHEA Grapalat"/>
          <w:bCs/>
          <w:sz w:val="24"/>
          <w:szCs w:val="24"/>
          <w:lang w:val="hy-AM"/>
        </w:rPr>
        <w:lastRenderedPageBreak/>
        <w:t xml:space="preserve">հիշողության կորուստ/: Վերջինս պայմանավորված է նրանով, որ կարմրուկի հիվանդացման արդյունքում վիրուսն ախտահարում է արյան B- և T-լիմֆոցիտները և առաջացնում է «իմունային ամնեզիա»,  որի վերականգնման համար անհրաժեշտ է առնվազն 2-ից  3 տարի: </w:t>
      </w:r>
    </w:p>
    <w:p w:rsidR="00C46716" w:rsidRPr="00C46716" w:rsidRDefault="00C46716" w:rsidP="00C46716">
      <w:pPr>
        <w:spacing w:line="360" w:lineRule="auto"/>
        <w:ind w:firstLine="72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C46716">
        <w:rPr>
          <w:rFonts w:ascii="GHEA Grapalat" w:hAnsi="GHEA Grapalat"/>
          <w:bCs/>
          <w:sz w:val="24"/>
          <w:szCs w:val="24"/>
          <w:lang w:val="hy-AM"/>
        </w:rPr>
        <w:t xml:space="preserve">Հետևաբար, կարմրուկի  դեմ պատվաստումները  կանխարգելում են ոչ միայն կարմրուկի հիվանդացությունը, այլ նաև «իմունային ամնեզիան», որի արդյունքում թողնում են նաև իմունամոդուլյատոր ազդեցութուն, որն էլ իր հերթին նպաստում է այլ վարակիչ հիվանդություններից առաջացած ընդհանուր մահացության ցուցանիշի նվազեցմանը: </w:t>
      </w:r>
    </w:p>
    <w:p w:rsidR="00C46716" w:rsidRPr="00C46716" w:rsidRDefault="00C46716" w:rsidP="00C46716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46716">
        <w:rPr>
          <w:rFonts w:ascii="GHEA Grapalat" w:hAnsi="GHEA Grapalat"/>
          <w:sz w:val="24"/>
          <w:szCs w:val="24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pt;height:194.7pt" o:ole="">
            <v:imagedata r:id="rId5" o:title=""/>
          </v:shape>
          <o:OLEObject Type="Embed" ProgID="PowerPoint.Slide.12" ShapeID="_x0000_i1025" DrawAspect="Content" ObjectID="_1590933220" r:id="rId6"/>
        </w:object>
      </w:r>
    </w:p>
    <w:p w:rsidR="00C46716" w:rsidRPr="00C46716" w:rsidRDefault="00C46716" w:rsidP="00982663">
      <w:pPr>
        <w:ind w:firstLine="720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:rsidR="006124DD" w:rsidRPr="00C46716" w:rsidRDefault="006124DD">
      <w:pPr>
        <w:rPr>
          <w:rFonts w:ascii="GHEA Grapalat" w:hAnsi="GHEA Grapalat"/>
          <w:sz w:val="24"/>
          <w:szCs w:val="24"/>
          <w:lang w:val="hy-AM"/>
        </w:rPr>
      </w:pPr>
    </w:p>
    <w:sectPr w:rsidR="006124DD" w:rsidRPr="00C46716" w:rsidSect="006124DD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703EC"/>
    <w:rsid w:val="000703EC"/>
    <w:rsid w:val="00210D03"/>
    <w:rsid w:val="00284CC3"/>
    <w:rsid w:val="00372E20"/>
    <w:rsid w:val="0045330D"/>
    <w:rsid w:val="006124DD"/>
    <w:rsid w:val="006343BA"/>
    <w:rsid w:val="008D2E52"/>
    <w:rsid w:val="009053BB"/>
    <w:rsid w:val="00982663"/>
    <w:rsid w:val="009A7DB1"/>
    <w:rsid w:val="00AF61D5"/>
    <w:rsid w:val="00C46716"/>
    <w:rsid w:val="00CE30D1"/>
    <w:rsid w:val="00DD1BE0"/>
    <w:rsid w:val="00F86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D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2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2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PowerPoint_Slide1.sldx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Svetlana.Grigoryan</dc:creator>
  <cp:keywords/>
  <dc:description/>
  <cp:lastModifiedBy>Svetlana.Grigoryan</cp:lastModifiedBy>
  <cp:revision>8</cp:revision>
  <dcterms:created xsi:type="dcterms:W3CDTF">2015-12-22T06:25:00Z</dcterms:created>
  <dcterms:modified xsi:type="dcterms:W3CDTF">2018-06-19T13:07:00Z</dcterms:modified>
</cp:coreProperties>
</file>